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30" w:rsidRDefault="00CA0735">
      <w:pPr>
        <w:widowControl/>
        <w:spacing w:line="276" w:lineRule="auto"/>
        <w:jc w:val="both"/>
        <w:rPr>
          <w:rFonts w:ascii="Times New Roman" w:eastAsia="Liberation Sans" w:hAnsi="Times New Roman" w:cs="Times New Roman"/>
          <w:b/>
          <w:color w:val="000000"/>
          <w:lang w:eastAsia="sk-SK" w:bidi="ar-SA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Návrh na povolenie zmeny v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užívaní stavby</w:t>
      </w:r>
    </w:p>
    <w:p w:rsidR="009F2130" w:rsidRDefault="009F2130">
      <w:pPr>
        <w:widowControl/>
        <w:spacing w:line="276" w:lineRule="auto"/>
        <w:jc w:val="both"/>
        <w:rPr>
          <w:rFonts w:ascii="Times New Roman" w:eastAsia="Liberation Sans" w:hAnsi="Times New Roman" w:cs="Times New Roman"/>
          <w:b/>
          <w:color w:val="000000"/>
          <w:lang w:eastAsia="sk-SK" w:bidi="ar-SA"/>
        </w:rPr>
      </w:pPr>
    </w:p>
    <w:p w:rsidR="009F2130" w:rsidRDefault="00CA0735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návrhu na povolenie zmeny v užívaní stavby sa pripojí</w:t>
      </w:r>
    </w:p>
    <w:p w:rsidR="009F2130" w:rsidRDefault="00CA073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dokumentácia s vyznačením pôvodného a navrhovaného spôsobu užívania jednotlivých priestorov stavby,</w:t>
      </w:r>
    </w:p>
    <w:p w:rsidR="009F2130" w:rsidRDefault="00CA073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preukazujúci vlastnícke alebo iné právo k stavbe;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súhlas vlastníka stavby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navrhovanou zmenou v spôsobe jej užívania, ak navrhovateľ nie je vlastníkom stavby,</w:t>
      </w:r>
    </w:p>
    <w:p w:rsidR="009F2130" w:rsidRDefault="00CA073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doklady o rokovaní s účastníkmi konania, ak sa konali pred podaním žiadosti (návrhu), a rozhodnutia, stanoviská, vyjadrenia, súhlasy, posúdenia a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lebo iné opatrenia dotknutých orgánov štátnej správy a obce,</w:t>
      </w:r>
    </w:p>
    <w:p w:rsidR="009F2130" w:rsidRDefault="00CA0735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kolaudačné rozhodnutie alebo stavebné povolenie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(fotokópia)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, z ktorého je zrejmé, na aký účel bola stavba povolená, alebo dokumentácia skutočného realizovania stavby (pasport stavby), ak sa iné d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oklady nezachovali.</w:t>
      </w:r>
    </w:p>
    <w:p w:rsidR="009F2130" w:rsidRDefault="009F213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F2130" w:rsidRDefault="00CA0735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Ak ide o stavbu, v ktorej sa má zabudovať jadrové zariadenie, k návrhu sa pripojí súhlas úradu jadrového dozoru udelený na základe posúdenia bezpečnostnej dokumentácie podľa osobitného predpisu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(Úrad jadrového dozoru SR).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</w:t>
      </w:r>
    </w:p>
    <w:p w:rsidR="009F2130" w:rsidRDefault="009F213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F2130" w:rsidRDefault="00CA073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Ďalšie príl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ohy:</w:t>
      </w:r>
    </w:p>
    <w:p w:rsidR="009F2130" w:rsidRDefault="00CA0735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9F2130" w:rsidRDefault="00CA0735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konaní (ak návrh podáva navrhovateľ prostredníctvom svojho zástupcu)</w:t>
      </w:r>
    </w:p>
    <w:p w:rsidR="009F2130" w:rsidRDefault="00CA0735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právoplatné kolaudačné rozhodnutie</w:t>
      </w:r>
    </w:p>
    <w:p w:rsidR="009F2130" w:rsidRDefault="00CA0735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iné (uviesť):</w:t>
      </w:r>
    </w:p>
    <w:p w:rsidR="009F2130" w:rsidRDefault="00CA0735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</w:t>
      </w:r>
    </w:p>
    <w:p w:rsidR="009F2130" w:rsidRDefault="009F213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F2130" w:rsidRDefault="00CA073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Doklady predkladané pri ústnom konaní spojenom s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miestnym zisťovaním</w:t>
      </w:r>
    </w:p>
    <w:p w:rsidR="009F2130" w:rsidRDefault="00CA0735">
      <w:pPr>
        <w:widowControl/>
        <w:numPr>
          <w:ilvl w:val="0"/>
          <w:numId w:val="4"/>
        </w:numPr>
        <w:tabs>
          <w:tab w:val="left" w:pos="-4395"/>
        </w:tabs>
        <w:spacing w:before="6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Ku kolaudačnému konaniu je potrebné v</w:t>
      </w:r>
      <w:r>
        <w:rPr>
          <w:rFonts w:ascii="Times New Roman" w:hAnsi="Times New Roman" w:cs="Times New Roman"/>
          <w:color w:val="000000"/>
          <w:u w:val="single" w:color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 xml:space="preserve">súlade s § 18 vyhlášky č. 453/2000 Z. z., </w:t>
      </w:r>
      <w:r>
        <w:rPr>
          <w:rFonts w:ascii="Times New Roman" w:eastAsia="Liberation Sans" w:hAnsi="Times New Roman" w:cs="Times New Roman"/>
          <w:i/>
          <w:color w:val="000000"/>
          <w:u w:val="single" w:color="000000"/>
          <w:lang w:eastAsia="sk-SK" w:bidi="ar-SA"/>
        </w:rPr>
        <w:t>ktorou sa vykonávajú niektoré ustanovenia stavebného zákona</w:t>
      </w: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 xml:space="preserve"> predložiť:</w:t>
      </w:r>
    </w:p>
    <w:p w:rsidR="009F2130" w:rsidRDefault="00CA0735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výsledkoch predpísaných skúšok a meraní a o spôsobilosti prevádzkových zariadení na plynulú a bezpečnú prevádzku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(revízne správy elektroinštalácie, plynoinštalácie, zdravotechniky, vzduchotechniky, úradné skúšky/osvedčenie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úradnej s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kúške ...),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ak bola vykonaná skúšobná prevádzka, jej vyhodnotenie alebo správa o výsledku komplexného vyskúšania,</w:t>
      </w:r>
    </w:p>
    <w:p w:rsidR="009F2130" w:rsidRDefault="00CA0735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projektovú dokumentáciu overenú stavebným úradom v stavebnom konaní alebo pri povoľovaní zmeny stavby pred jej dokončením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 (alebo pri ohlásení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stavebných úprav) (opečiatkovanú zhotoviteľom stavby),</w:t>
      </w:r>
    </w:p>
    <w:p w:rsidR="009F2130" w:rsidRDefault="00CA0735">
      <w:pPr>
        <w:widowControl/>
        <w:numPr>
          <w:ilvl w:val="0"/>
          <w:numId w:val="4"/>
        </w:numPr>
        <w:spacing w:before="6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Ku kolaudačnému konaniu je potrebné ďalej predložiť:</w:t>
      </w:r>
    </w:p>
    <w:p w:rsidR="009F2130" w:rsidRDefault="00CA0735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>osvedčenie o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>stave komínov,</w:t>
      </w:r>
    </w:p>
    <w:p w:rsidR="009F2130" w:rsidRDefault="00CA0735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vlastníctve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prípade zmeny vlastníctva,</w:t>
      </w:r>
    </w:p>
    <w:p w:rsidR="009F2130" w:rsidRDefault="00CA0735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Liberation Sans" w:cs="Times New Roman"/>
          <w:color w:val="000000"/>
          <w:lang w:eastAsia="sk-SK" w:bidi="ar-SA"/>
        </w:rPr>
        <w:t>doklady o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vykonaní úradnej skúšky vyhradených technických zariadení</w:t>
      </w:r>
    </w:p>
    <w:p w:rsidR="009F2130" w:rsidRDefault="00CA0735">
      <w:pPr>
        <w:widowControl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lastRenderedPageBreak/>
        <w:t>Kolaudačné rozhodnutie môže byť vydané, ak bude zrealizovaný dostatočný počet parkovacích miest podľa prepočtu statickej dopravy na navrhovaný účel.</w:t>
      </w:r>
    </w:p>
    <w:p w:rsidR="009F2130" w:rsidRDefault="009F213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F2130" w:rsidRDefault="00CA073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9F2130" w:rsidRDefault="00CA0735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 xml:space="preserve">ďalšie doklady 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údaje potrebné k vydaniu rozhodnutia.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dokladov.</w:t>
      </w:r>
    </w:p>
    <w:sectPr w:rsidR="009F2130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35" w:rsidRDefault="00CA0735">
      <w:r>
        <w:separator/>
      </w:r>
    </w:p>
  </w:endnote>
  <w:endnote w:type="continuationSeparator" w:id="0">
    <w:p w:rsidR="00CA0735" w:rsidRDefault="00CA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30" w:rsidRDefault="00CA0735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C17D7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35" w:rsidRDefault="00CA0735">
      <w:r>
        <w:separator/>
      </w:r>
    </w:p>
  </w:footnote>
  <w:footnote w:type="continuationSeparator" w:id="0">
    <w:p w:rsidR="00CA0735" w:rsidRDefault="00CA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30" w:rsidRDefault="009F2130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D91"/>
    <w:multiLevelType w:val="multilevel"/>
    <w:tmpl w:val="EFAAF4F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49C83EBA"/>
    <w:multiLevelType w:val="multilevel"/>
    <w:tmpl w:val="386C0A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54BB432D"/>
    <w:multiLevelType w:val="multilevel"/>
    <w:tmpl w:val="BEBCE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63B149DE"/>
    <w:multiLevelType w:val="multilevel"/>
    <w:tmpl w:val="1F3ED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6D63F2"/>
    <w:multiLevelType w:val="multilevel"/>
    <w:tmpl w:val="218410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30"/>
    <w:rsid w:val="000C17D7"/>
    <w:rsid w:val="009F2130"/>
    <w:rsid w:val="00C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42419-5401-4069-8910-9906CB9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Liberation Sans" w:hAnsi="Arial" w:cs="Arial"/>
      <w:color w:val="000000"/>
      <w:kern w:val="2"/>
      <w:sz w:val="11"/>
      <w:szCs w:val="11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Hlavi3f3fka">
    <w:name w:val="Hlaviè3f3fk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(alebo jeho splnomocnený zástupca):</vt:lpstr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(alebo jeho splnomocnený zástupca):</dc:title>
  <dc:subject/>
  <dc:creator>Zuzana</dc:creator>
  <dc:description/>
  <cp:lastModifiedBy>Konto Microsoft</cp:lastModifiedBy>
  <cp:revision>2</cp:revision>
  <dcterms:created xsi:type="dcterms:W3CDTF">2022-11-28T13:28:00Z</dcterms:created>
  <dcterms:modified xsi:type="dcterms:W3CDTF">2022-11-28T13:28:00Z</dcterms:modified>
  <dc:language>sk-SK</dc:language>
</cp:coreProperties>
</file>