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Žiadateľ: .......................................................................................................................................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adresa/sídlo: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 PSČ: .......................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kontakt (tel. č., e-mail): 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 xml:space="preserve">Obec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…………………………….………………….</w:t>
      </w:r>
    </w:p>
    <w:p w:rsidR="001F41AB" w:rsidRDefault="001F41AB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right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 ......................... dňa .........................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Vec: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vydanie stavebného povolenia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v</w:t>
      </w:r>
      <w:r>
        <w:rPr>
          <w:rFonts w:ascii="Times New Roman" w:hAnsi="Times New Roman" w:cs="Times New Roman"/>
          <w:color w:val="000000"/>
          <w:u w:val="single" w:color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spojenom územnom a</w:t>
      </w:r>
      <w:r>
        <w:rPr>
          <w:rFonts w:ascii="Times New Roman" w:hAnsi="Times New Roman" w:cs="Times New Roman"/>
          <w:color w:val="000000"/>
          <w:u w:val="single" w:color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stavebnom konaní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súlade s § 35 a § 58 zákona č. 50/1976 Zb. o územnom plánovaní a stavebnom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poriadku (stavebný zákon) v znení neskorších predpisov a podľa § 8 a § 3 vyhlášky č. 453/2000 Z. z., ktorou sa vykonávajú niektoré ustanovenia stavebného zákona.</w:t>
      </w:r>
    </w:p>
    <w:p w:rsidR="001F41AB" w:rsidRDefault="00E70D49">
      <w:pPr>
        <w:widowControl/>
        <w:numPr>
          <w:ilvl w:val="0"/>
          <w:numId w:val="1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Žiadosť o stavebné povolenie obsahuje</w:t>
      </w:r>
    </w:p>
    <w:p w:rsidR="001F41AB" w:rsidRDefault="00E70D49">
      <w:pPr>
        <w:widowControl/>
        <w:numPr>
          <w:ilvl w:val="0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stavebníka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 (názov firmy): 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....................................................................................................................................</w:t>
      </w:r>
    </w:p>
    <w:p w:rsidR="001F41AB" w:rsidRDefault="00E70D49">
      <w:pPr>
        <w:widowControl/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splnomocnená organizácia/osoba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 firmy): 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adr.: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..................................................................................tel.: 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druh, účel a miesto stavby, predpokladaný termín dokončenia stavby a pri dočasnej stavbe dobu jej trvania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názov stavby: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 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členení na stavebné objekty: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parcelné čísla a druhy (kultúry) stavebného pozemku s uvedením vlastníckych alebo iných práv podľa katastra nehnuteľností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 xml:space="preserve"> a parcelné čísla susedných pozemkov a susedných stavieb alebo ostatných pozemkov, ktoré sa majú použiť ako stavenisko</w:t>
      </w:r>
    </w:p>
    <w:p w:rsidR="001F41AB" w:rsidRDefault="001F41AB">
      <w:pPr>
        <w:widowControl/>
        <w:spacing w:before="120" w:line="276" w:lineRule="auto"/>
        <w:ind w:left="360"/>
        <w:jc w:val="both"/>
        <w:rPr>
          <w:rFonts w:cs="Times New Roman"/>
        </w:rPr>
      </w:pPr>
    </w:p>
    <w:p w:rsidR="001F41AB" w:rsidRDefault="00E70D49">
      <w:pPr>
        <w:widowControl/>
        <w:numPr>
          <w:ilvl w:val="2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miesto stavby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ulica, obec: 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numPr>
          <w:ilvl w:val="2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umiestnenie prípojok inžinierskych sietí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 xml:space="preserve">vlastník (iné právo) meno, adresa 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numPr>
          <w:ilvl w:val="2"/>
          <w:numId w:val="8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pozemky a</w:t>
      </w:r>
      <w:r>
        <w:rPr>
          <w:rFonts w:ascii="Times New Roman" w:hAnsi="Times New Roman" w:cs="Times New Roman"/>
          <w:b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susedné stavby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before="120"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parcelné čísla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č. LV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druh pozemku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ab/>
        <w:t>vlastník (iné pr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ávo) meno, adresa 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E70D49">
      <w:pPr>
        <w:widowControl/>
        <w:tabs>
          <w:tab w:val="left" w:pos="360"/>
          <w:tab w:val="left" w:pos="2340"/>
          <w:tab w:val="right" w:pos="4320"/>
          <w:tab w:val="left" w:pos="540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meno, priezvisko (názov) a adresu (sídlo) projektanta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meno (názov firmy):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ondenčná adr.: 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..................................................................................tel. 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ail: ....................................................................................................................................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údaj o tom, či sa stavba uskutočňuje zhotoviteľom alebo svojpomocou</w:t>
      </w:r>
    </w:p>
    <w:p w:rsidR="001F41AB" w:rsidRDefault="00E70D49">
      <w:pPr>
        <w:widowControl/>
        <w:numPr>
          <w:ilvl w:val="3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dodávateľsky:</w:t>
      </w:r>
    </w:p>
    <w:p w:rsidR="001F41AB" w:rsidRDefault="00E70D49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korešpondenčná 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adr.: 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poverenej osoby: .................................................................................tel.: ..................</w:t>
      </w:r>
    </w:p>
    <w:p w:rsidR="001F41AB" w:rsidRDefault="00E70D49">
      <w:pPr>
        <w:widowControl/>
        <w:spacing w:line="276" w:lineRule="auto"/>
        <w:ind w:left="720" w:hanging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e-mail: 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</w:t>
      </w:r>
    </w:p>
    <w:p w:rsidR="001F41AB" w:rsidRDefault="00E70D49">
      <w:pPr>
        <w:widowControl/>
        <w:numPr>
          <w:ilvl w:val="3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svojpomocne, pod odborným vedením: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(názov): 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adresa (sídlo): 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korešpondenčná adr.: 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.......................................................</w:t>
      </w:r>
    </w:p>
    <w:p w:rsidR="001F41AB" w:rsidRDefault="00E70D49">
      <w:pPr>
        <w:widowControl/>
        <w:numPr>
          <w:ilvl w:val="3"/>
          <w:numId w:val="2"/>
        </w:numPr>
        <w:spacing w:before="120"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bude určený vo výberovom konaní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 xml:space="preserve">základné údaje o stavbe, jej členení, technickom alebo výrobnom zariadení, budúcej prevádzke a jej vplyve na životné prostredie a zdravie ľudí a o súvisiacich 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opatreniach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lastRenderedPageBreak/>
        <w:t>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2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zoznam účastníkov stavebn</w:t>
      </w:r>
      <w:r>
        <w:rPr>
          <w:rFonts w:ascii="Times New Roman" w:eastAsia="Times New Roman" w:hAnsi="Times New Roman" w:cs="Times New Roman"/>
          <w:color w:val="000000"/>
          <w:u w:val="single" w:color="000000"/>
          <w:lang w:eastAsia="sk-SK" w:bidi="ar-SA"/>
        </w:rPr>
        <w:t>ého konania, ktorí sú stavebníkovi známi; ak ide o líniovú stavbu a stavbu mimoriadne rozsiahlu s veľkým počtom účastníkov stavebného konania, zoznam účastníkov sa neuvádza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</w:t>
      </w:r>
    </w:p>
    <w:p w:rsidR="001F41AB" w:rsidRDefault="00E70D49">
      <w:pPr>
        <w:widowControl/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>.................................................................................................................................................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VYHLÁSENIE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: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Vyhlasujem, že údaje uvedené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žiadosti sú pravdivé</w:t>
      </w:r>
      <w:r>
        <w:rPr>
          <w:rFonts w:ascii="Times New Roman" w:hAnsi="Times New Roman" w:cs="Times New Roman"/>
          <w:color w:val="000000"/>
          <w:lang w:eastAsia="sk-SK" w:bidi="ar-SA"/>
        </w:rPr>
        <w:t>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  <w:t>............................................................</w:t>
      </w: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meno a podpis stavebníka</w:t>
      </w:r>
    </w:p>
    <w:p w:rsidR="001F41AB" w:rsidRDefault="00E70D4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(štatutárneho zástupcu)</w:t>
      </w:r>
    </w:p>
    <w:p w:rsidR="001F41AB" w:rsidRDefault="00E70D49">
      <w:pPr>
        <w:widowControl/>
        <w:tabs>
          <w:tab w:val="center" w:pos="7380"/>
        </w:tabs>
        <w:spacing w:line="276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(odtlačok pečiatky)</w:t>
      </w:r>
    </w:p>
    <w:p w:rsidR="001F41AB" w:rsidRDefault="001F41AB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sk-SK" w:bidi="ar-SA"/>
        </w:rPr>
      </w:pP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color w:val="000000"/>
          <w:lang w:eastAsia="sk-SK" w:bidi="ar-SA"/>
        </w:rPr>
        <w:t>Pri podávaní žiadosti je potrebné zaplatiť správny poplatok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zmysle zákona č. 145/1995 Z. z. o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>správnych poplatkoch v</w:t>
      </w:r>
      <w:r>
        <w:rPr>
          <w:rFonts w:ascii="Times New Roman" w:hAnsi="Times New Roman" w:cs="Times New Roman"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color w:val="000000"/>
          <w:lang w:eastAsia="sk-SK" w:bidi="ar-SA"/>
        </w:rPr>
        <w:t xml:space="preserve">znení neskorších predpisov. </w:t>
      </w:r>
      <w:r>
        <w:rPr>
          <w:rFonts w:ascii="Times New Roman" w:eastAsia="Times New Roman" w:hAnsi="Times New Roman" w:cs="Times New Roman"/>
          <w:b/>
          <w:color w:val="000000"/>
          <w:u w:val="single" w:color="000000"/>
          <w:lang w:eastAsia="sk-SK" w:bidi="ar-SA"/>
        </w:rPr>
        <w:t>Platba kolkom nie je možná</w:t>
      </w:r>
      <w:r>
        <w:rPr>
          <w:rFonts w:ascii="Times New Roman" w:hAnsi="Times New Roman" w:cs="Times New Roman"/>
          <w:b/>
          <w:color w:val="000000"/>
          <w:u w:val="single" w:color="000000"/>
          <w:lang w:eastAsia="sk-SK" w:bidi="ar-SA"/>
        </w:rPr>
        <w:t>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sk-SK" w:bidi="ar-SA"/>
        </w:rPr>
        <w:t>Správny poplatok je splatný pri podaní.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</w:t>
      </w: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stavebné povolenie alebo na zmeny dokončených stavieb (nadstavba, prístavba) a n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 zmeny stavieb pred dokončením (za každú samostatnú stavbu)</w:t>
      </w:r>
    </w:p>
    <w:p w:rsidR="001F41AB" w:rsidRDefault="00E70D49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bývanie</w:t>
      </w:r>
    </w:p>
    <w:p w:rsidR="001F41AB" w:rsidRDefault="00E70D49">
      <w:pPr>
        <w:widowControl/>
        <w:numPr>
          <w:ilvl w:val="2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stavbu rodinného domu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E70D49">
      <w:pPr>
        <w:widowControl/>
        <w:numPr>
          <w:ilvl w:val="2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stavbu bytového domu 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na individuálnu rekreáciu, napríklad chaty, rekreačné domy alebo na zmeny dokončených stavieb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(nadstavba, prístavba) a na zmeny týchto stavieb pred dokončením</w:t>
      </w:r>
    </w:p>
    <w:p w:rsidR="001F41AB" w:rsidRDefault="00E70D49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zastavaná plocha nepresahuje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 xml:space="preserve">2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25 eur</w:t>
      </w:r>
    </w:p>
    <w:p w:rsidR="001F41AB" w:rsidRDefault="00E70D49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zastavaná plocha presahuje 25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stavebné úpravy dokončených stavieb vyžadujúce stavebné povolenie</w:t>
      </w:r>
    </w:p>
    <w:p w:rsidR="001F41AB" w:rsidRDefault="00E70D49">
      <w:pPr>
        <w:widowControl/>
        <w:numPr>
          <w:ilvl w:val="2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rodinných domov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stavieb na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individuálnu rekreáciu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35 eur</w:t>
      </w:r>
    </w:p>
    <w:p w:rsidR="001F41AB" w:rsidRDefault="00E70D49">
      <w:pPr>
        <w:widowControl/>
        <w:numPr>
          <w:ilvl w:val="2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bytových domov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lastRenderedPageBreak/>
        <w:t>na stavby, ktoré sú súčasťou alebo príslušenstvom rodinných domov alebo stavieb na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individuálnu rekreáciu</w:t>
      </w:r>
    </w:p>
    <w:p w:rsidR="001F41AB" w:rsidRDefault="00E70D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1F41AB" w:rsidRDefault="00E70D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1F41AB" w:rsidRDefault="00E70D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, malé čistiarne, odpadových vôd, jazierka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1F41AB" w:rsidRDefault="00E70D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parkoviská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1F41AB" w:rsidRDefault="00E70D49">
      <w:pPr>
        <w:widowControl/>
        <w:numPr>
          <w:ilvl w:val="0"/>
          <w:numId w:val="5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s doplnkovou funkciou k týmto stavbám, napríklad letné kuchyne, bazény, sklady</w:t>
      </w:r>
      <w:r>
        <w:rPr>
          <w:rFonts w:ascii="Liberation Sans" w:eastAsia="Times New Roman" w:hAnsi="Liberation Sans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stavby, ktoré sú súčasťou alebo príslušenstvom k bytovým domom a ostatným budovám</w:t>
      </w:r>
    </w:p>
    <w:p w:rsidR="001F41AB" w:rsidRDefault="00E70D49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jedným alebo dvoma miestami 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E70D49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prípojky na existujúcu verejnú rozvodnú sieť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E70D49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vodné stavby, napríklad studne, vsaky nad 5 m</w:t>
      </w: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sk-SK" w:bidi="ar-SA"/>
        </w:rPr>
        <w:t>2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, malé čistiarne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odpadových vôd, jazierka</w:t>
      </w:r>
      <w:r>
        <w:rPr>
          <w:rFonts w:ascii="Liberation Sans" w:eastAsia="Times New Roman" w:hAnsi="Liberation Sans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E70D49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spevnené plochy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parkoviská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E70D49">
      <w:pPr>
        <w:widowControl/>
        <w:numPr>
          <w:ilvl w:val="0"/>
          <w:numId w:val="6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na stavby s doplnkovou funkciou, napríklad prístrešky, sklady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zmeny dokončených stavieb a na zmeny týchto stavieb pred dokončením podľa písmen d)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e)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ostatné neuvedené stavby a na zmeny týchto dokončených stavieb a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zmeny stavieb pred dokončením pri predpokladanom rozpočtovom náklade</w:t>
      </w:r>
    </w:p>
    <w:p w:rsidR="001F41AB" w:rsidRDefault="00E70D49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do 50 000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1F41AB" w:rsidRDefault="00E70D49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50 000 eur do 100 000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200 eur</w:t>
      </w:r>
    </w:p>
    <w:p w:rsidR="001F41AB" w:rsidRDefault="00E70D49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100 000 eur do 500 000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400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 xml:space="preserve"> eur</w:t>
      </w:r>
    </w:p>
    <w:p w:rsidR="001F41AB" w:rsidRDefault="00E70D49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500 000 eur do 1 000 000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600 eur</w:t>
      </w:r>
    </w:p>
    <w:p w:rsidR="001F41AB" w:rsidRDefault="00E70D49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1 000 000 eur do 10 000 000 eur vrátane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800 eur</w:t>
      </w:r>
    </w:p>
    <w:p w:rsidR="001F41AB" w:rsidRDefault="00E70D49">
      <w:pPr>
        <w:widowControl/>
        <w:tabs>
          <w:tab w:val="left" w:pos="63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nad 10 000 000 eur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1 000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0"/>
          <w:numId w:val="4"/>
        </w:numPr>
        <w:tabs>
          <w:tab w:val="left" w:pos="-4500"/>
        </w:tabs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na stavby dočasných objektov zariadení staveniska, ak sa vydáva samostatné stavebné povolenie na stavby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Oslobodenie</w:t>
      </w:r>
    </w:p>
    <w:p w:rsidR="001F41AB" w:rsidRDefault="00E70D49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stavebného povolenia na zmeny dokončených stavieb na bývanie sú oslobodení držitelia preukazu fyzickej osoby s ťažkým zdravotným postihnutím alebo preukazu fyzickej osoby s ťažkým zdravotným postihnutím so sprievodcom.</w:t>
      </w:r>
    </w:p>
    <w:p w:rsidR="001F41AB" w:rsidRDefault="00E70D49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 poplatku podľa tejto položky sú oslobodení poskytovatelia sociálnych služieb, ktorí neposkytujú sociálne služby s cieľom dosiahnuť zisk za podmienok ustanovených osobitným zákonom, osvetové strediská, hvezdárne, planetáriá, knižnice, múzeá, galérie, divad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lá, ktorých zriaďovateľom je štát alebo vyšší územný celok, a profesionálne hudobné inštitúcie, ktorých zriaďovateľom je štát alebo vyšší územný celok.</w:t>
      </w:r>
    </w:p>
    <w:p w:rsidR="001F41AB" w:rsidRDefault="00E70D49">
      <w:pPr>
        <w:widowControl/>
        <w:numPr>
          <w:ilvl w:val="1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Od poplatku za vydanie stavebného povolenia podľa písmena g) tejto položky je oslobodená Národná diaľnič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ná spoločnosť, a. s.</w:t>
      </w:r>
    </w:p>
    <w:p w:rsidR="001F41AB" w:rsidRDefault="001F41AB">
      <w:pPr>
        <w:widowControl/>
        <w:spacing w:line="276" w:lineRule="auto"/>
        <w:ind w:left="360" w:hanging="360"/>
        <w:jc w:val="both"/>
        <w:rPr>
          <w:rFonts w:cs="Times New Roman"/>
        </w:rPr>
      </w:pPr>
    </w:p>
    <w:p w:rsidR="001F41AB" w:rsidRDefault="001F41AB">
      <w:pPr>
        <w:widowControl/>
        <w:spacing w:line="276" w:lineRule="auto"/>
        <w:ind w:left="360" w:hanging="360"/>
        <w:jc w:val="both"/>
        <w:rPr>
          <w:rFonts w:cs="Times New Roman"/>
        </w:rPr>
      </w:pP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lastRenderedPageBreak/>
        <w:t>Poznámky</w:t>
      </w:r>
    </w:p>
    <w:p w:rsidR="001F41AB" w:rsidRDefault="00E70D49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Ak stavebné povolenie zahŕňa stavbu viacerých samostatných objektov, vyberie sa súhrnný poplatok za všetky samostatné objekty uvedené v stavebnom povolení okrem prípojok [písmená a) a b)].</w:t>
      </w:r>
    </w:p>
    <w:p w:rsidR="001F41AB" w:rsidRDefault="00E70D49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Hotelové a iné ubytovacie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zariadenia sa posudzujú ako nebytová výstavba.</w:t>
      </w:r>
    </w:p>
    <w:p w:rsidR="001F41AB" w:rsidRDefault="00E70D49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Garáže s viac ako dvoma miestami sa posudzujú ako samostatné stavby.</w:t>
      </w:r>
    </w:p>
    <w:p w:rsidR="001F41AB" w:rsidRDefault="00E70D49">
      <w:pPr>
        <w:widowControl/>
        <w:numPr>
          <w:ilvl w:val="2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Podľa tejto položky spoplatňujú stavebné povolenia stavebné úrady, špeciálne stavebné úrady, vojenské a iné stavebné úrady podľa ustanovení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§ 117, 120 a 121 zákona č. 50/1976 Zb. o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územnom plánovaní a stavebnom poriadku (stavebný zákon) v znení neskorších predpisov.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u w:color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u w:val="single" w:color="000000"/>
          <w:lang w:eastAsia="sk-SK" w:bidi="ar-SA"/>
        </w:rPr>
        <w:t>Položka 60a</w:t>
      </w:r>
    </w:p>
    <w:p w:rsidR="001F41AB" w:rsidRDefault="00E70D49">
      <w:pPr>
        <w:widowControl/>
        <w:numPr>
          <w:ilvl w:val="3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predĺženie platnosti stavebného povolenia pre</w:t>
      </w:r>
    </w:p>
    <w:p w:rsidR="001F41AB" w:rsidRDefault="00E70D49">
      <w:pPr>
        <w:widowControl/>
        <w:numPr>
          <w:ilvl w:val="3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100 eur</w:t>
      </w:r>
    </w:p>
    <w:p w:rsidR="001F41AB" w:rsidRDefault="00E70D49">
      <w:pPr>
        <w:widowControl/>
        <w:numPr>
          <w:ilvl w:val="3"/>
          <w:numId w:val="3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fyzickú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30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numPr>
          <w:ilvl w:val="3"/>
          <w:numId w:val="4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Ohlásenie 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jednoduchej stavby pre</w:t>
      </w:r>
    </w:p>
    <w:p w:rsidR="001F41AB" w:rsidRDefault="00E70D49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právnickú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50 eur</w:t>
      </w:r>
    </w:p>
    <w:p w:rsidR="001F41AB" w:rsidRDefault="00E70D49">
      <w:pPr>
        <w:widowControl/>
        <w:numPr>
          <w:ilvl w:val="0"/>
          <w:numId w:val="7"/>
        </w:numPr>
        <w:spacing w:line="276" w:lineRule="auto"/>
        <w:ind w:left="360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fyzickú osobu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20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 xml:space="preserve">g) Žiadosť o predĺženie termínu dokončenia stavby     </w:t>
      </w:r>
      <w:r>
        <w:rPr>
          <w:rFonts w:ascii="Times New Roman" w:eastAsia="Times New Roman" w:hAnsi="Times New Roman" w:cs="Times New Roman"/>
          <w:b/>
          <w:i/>
          <w:color w:val="000000"/>
          <w:lang w:eastAsia="sk-SK" w:bidi="ar-SA"/>
        </w:rPr>
        <w:t>10 eur</w:t>
      </w:r>
    </w:p>
    <w:p w:rsidR="001F41AB" w:rsidRDefault="001F41AB">
      <w:pPr>
        <w:widowControl/>
        <w:spacing w:line="276" w:lineRule="auto"/>
        <w:jc w:val="both"/>
        <w:rPr>
          <w:rFonts w:ascii="Times New Roman" w:hAnsi="Times New Roman" w:cs="Times New Roman"/>
          <w:i/>
          <w:color w:val="000000"/>
          <w:lang w:eastAsia="sk-SK" w:bidi="ar-SA"/>
        </w:rPr>
      </w:pPr>
    </w:p>
    <w:p w:rsidR="001F41AB" w:rsidRDefault="00E70D49">
      <w:pPr>
        <w:widowControl/>
        <w:spacing w:line="276" w:lineRule="auto"/>
        <w:jc w:val="both"/>
        <w:rPr>
          <w:rFonts w:cs="Times New Roman"/>
        </w:rPr>
      </w:pP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Žiadosť o dodatočné povolenie stavby, ktorá bola postavená po 1. októbri 1976 bez</w:t>
      </w:r>
      <w:r>
        <w:rPr>
          <w:rFonts w:ascii="Times New Roman" w:hAnsi="Times New Roman" w:cs="Times New Roman"/>
          <w:i/>
          <w:color w:val="000000"/>
          <w:lang w:eastAsia="sk-SK" w:bidi="ar-SA"/>
        </w:rPr>
        <w:t> 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stavebného povolenia alebo v rozpore so záko</w:t>
      </w:r>
      <w:r>
        <w:rPr>
          <w:rFonts w:ascii="Times New Roman" w:eastAsia="Times New Roman" w:hAnsi="Times New Roman" w:cs="Times New Roman"/>
          <w:i/>
          <w:color w:val="000000"/>
          <w:lang w:eastAsia="sk-SK" w:bidi="ar-SA"/>
        </w:rPr>
        <w:t>nom a o dodatočné povolenie zmeny stavby trojnásobok sadzby ustanovenej v položke 60.</w:t>
      </w:r>
    </w:p>
    <w:sectPr w:rsidR="001F41AB">
      <w:headerReference w:type="default" r:id="rId7"/>
      <w:footerReference w:type="default" r:id="rId8"/>
      <w:pgSz w:w="11906" w:h="16838"/>
      <w:pgMar w:top="765" w:right="1417" w:bottom="899" w:left="1417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D49" w:rsidRDefault="00E70D49">
      <w:r>
        <w:separator/>
      </w:r>
    </w:p>
  </w:endnote>
  <w:endnote w:type="continuationSeparator" w:id="0">
    <w:p w:rsidR="00E70D49" w:rsidRDefault="00E7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FreeSans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B" w:rsidRDefault="00E70D49">
    <w:pPr>
      <w:pStyle w:val="P3fta"/>
      <w:jc w:val="right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2873CB">
      <w:rPr>
        <w:rFonts w:cs="Times New Roman"/>
        <w:noProof/>
      </w:rPr>
      <w:t>2</w:t>
    </w:r>
    <w:r>
      <w:rPr>
        <w:rFonts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D49" w:rsidRDefault="00E70D49">
      <w:r>
        <w:separator/>
      </w:r>
    </w:p>
  </w:footnote>
  <w:footnote w:type="continuationSeparator" w:id="0">
    <w:p w:rsidR="00E70D49" w:rsidRDefault="00E7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1AB" w:rsidRDefault="001F41AB">
    <w:pPr>
      <w:pStyle w:val="Hlavi3fka"/>
      <w:rPr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D82"/>
    <w:multiLevelType w:val="multilevel"/>
    <w:tmpl w:val="A1466C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DB72F47"/>
    <w:multiLevelType w:val="multilevel"/>
    <w:tmpl w:val="EB5833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2" w15:restartNumberingAfterBreak="0">
    <w:nsid w:val="1E457332"/>
    <w:multiLevelType w:val="multilevel"/>
    <w:tmpl w:val="085CF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3" w15:restartNumberingAfterBreak="0">
    <w:nsid w:val="2DD87778"/>
    <w:multiLevelType w:val="multilevel"/>
    <w:tmpl w:val="31F4C0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4" w15:restartNumberingAfterBreak="0">
    <w:nsid w:val="364230D1"/>
    <w:multiLevelType w:val="multilevel"/>
    <w:tmpl w:val="1EB8E4E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6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5" w15:restartNumberingAfterBreak="0">
    <w:nsid w:val="5B854041"/>
    <w:multiLevelType w:val="multilevel"/>
    <w:tmpl w:val="9DBC9E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6" w15:restartNumberingAfterBreak="0">
    <w:nsid w:val="600B46C6"/>
    <w:multiLevelType w:val="multilevel"/>
    <w:tmpl w:val="A330D1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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7" w15:restartNumberingAfterBreak="0">
    <w:nsid w:val="703153DA"/>
    <w:multiLevelType w:val="multilevel"/>
    <w:tmpl w:val="5296A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311152E"/>
    <w:multiLevelType w:val="multilevel"/>
    <w:tmpl w:val="4E9C2B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AB"/>
    <w:rsid w:val="001F41AB"/>
    <w:rsid w:val="002873CB"/>
    <w:rsid w:val="00E7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338BC-1DA1-4D27-967F-EA2C42E7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rFonts w:ascii="Liberation Serif" w:hAnsi="Liberation Serif" w:cs="Liberation Serif"/>
      <w:kern w:val="2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uiPriority w:val="99"/>
    <w:qFormat/>
  </w:style>
  <w:style w:type="character" w:customStyle="1" w:styleId="num1">
    <w:name w:val="num1"/>
    <w:basedOn w:val="Predvolenpsmoodseku"/>
    <w:uiPriority w:val="99"/>
    <w:qFormat/>
    <w:rPr>
      <w:rFonts w:eastAsia="Times New Roman" w:cs="Times New Roman"/>
      <w:b/>
      <w:bCs/>
      <w:color w:val="303030"/>
    </w:rPr>
  </w:style>
  <w:style w:type="character" w:customStyle="1" w:styleId="Internetovfd3fodkaz">
    <w:name w:val="Internetovýfd3f odkaz"/>
    <w:basedOn w:val="Predvolenpsmoodseku"/>
    <w:uiPriority w:val="99"/>
    <w:qFormat/>
    <w:rPr>
      <w:rFonts w:eastAsia="Times New Roman" w:cs="Times New Roman"/>
      <w:color w:val="05507A"/>
      <w:u w:val="none" w:color="000000"/>
    </w:rPr>
  </w:style>
  <w:style w:type="character" w:customStyle="1" w:styleId="Z3f3fkladn3f3ftext">
    <w:name w:val="Zá3f3fkladný3f3f text_"/>
    <w:uiPriority w:val="99"/>
    <w:qFormat/>
    <w:rPr>
      <w:rFonts w:ascii="Times New Roman" w:hAnsi="Times New Roman"/>
      <w:sz w:val="23"/>
      <w:u w:val="none" w:color="000000"/>
    </w:rPr>
  </w:style>
  <w:style w:type="character" w:customStyle="1" w:styleId="Z3f3fkladn3f3ftext9">
    <w:name w:val="Zá3f3fkladný3f3f text (9)_"/>
    <w:uiPriority w:val="99"/>
    <w:qFormat/>
    <w:rPr>
      <w:rFonts w:ascii="Arial" w:hAnsi="Arial"/>
      <w:sz w:val="11"/>
    </w:rPr>
  </w:style>
  <w:style w:type="character" w:customStyle="1" w:styleId="CharChar1">
    <w:name w:val="Char Char1"/>
    <w:uiPriority w:val="99"/>
    <w:qFormat/>
    <w:rPr>
      <w:lang w:val="x-none" w:eastAsia="cs-CZ"/>
    </w:rPr>
  </w:style>
  <w:style w:type="character" w:styleId="slostrany">
    <w:name w:val="page number"/>
    <w:basedOn w:val="Predvolenpsmoodseku"/>
    <w:uiPriority w:val="99"/>
    <w:qFormat/>
    <w:rPr>
      <w:rFonts w:eastAsia="Times New Roman" w:cs="Times New Roman"/>
    </w:rPr>
  </w:style>
  <w:style w:type="character" w:customStyle="1" w:styleId="Hlavi3fkaChar">
    <w:name w:val="Hlaviè3fk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P3ftaChar">
    <w:name w:val="Pä3fta Char"/>
    <w:basedOn w:val="Predvolenpsmoodseku"/>
    <w:uiPriority w:val="99"/>
    <w:qFormat/>
    <w:rPr>
      <w:rFonts w:ascii="Liberation Sans" w:eastAsia="Times New Roman" w:hAnsi="Liberation Sans" w:cs="Liberation Sans"/>
      <w:color w:val="000000"/>
      <w:kern w:val="2"/>
      <w:sz w:val="21"/>
      <w:szCs w:val="21"/>
      <w:lang w:val="x-none" w:eastAsia="zh-CN" w:bidi="hi-IN"/>
    </w:rPr>
  </w:style>
  <w:style w:type="character" w:customStyle="1" w:styleId="Internetov3fodkaz">
    <w:name w:val="Internetový3f odkaz"/>
    <w:uiPriority w:val="99"/>
    <w:qFormat/>
    <w:rPr>
      <w:color w:val="000080"/>
      <w:u w:val="single"/>
    </w:rPr>
  </w:style>
  <w:style w:type="paragraph" w:customStyle="1" w:styleId="Nadpis">
    <w:name w:val="Nadpis"/>
    <w:basedOn w:val="Normlny"/>
    <w:next w:val="Zkladntext1"/>
    <w:uiPriority w:val="99"/>
    <w:qFormat/>
    <w:pPr>
      <w:keepNext/>
      <w:spacing w:before="240" w:after="120"/>
    </w:pPr>
    <w:rPr>
      <w:rFonts w:ascii="FreeSans" w:eastAsia="Times New Roman" w:hAnsi="FreeSans" w:cs="FreeSans"/>
      <w:color w:val="000000"/>
      <w:sz w:val="28"/>
      <w:szCs w:val="28"/>
    </w:rPr>
  </w:style>
  <w:style w:type="paragraph" w:customStyle="1" w:styleId="Zkladntext1">
    <w:name w:val="Základný text1"/>
    <w:basedOn w:val="Normlny"/>
    <w:uiPriority w:val="99"/>
    <w:pPr>
      <w:widowControl/>
      <w:spacing w:after="140" w:line="288" w:lineRule="auto"/>
    </w:pPr>
    <w:rPr>
      <w:rFonts w:ascii="Liberation Sans" w:eastAsia="Times New Roman" w:hAnsi="Liberation Sans" w:cs="Liberation Sans"/>
      <w:color w:val="000000"/>
      <w:lang w:eastAsia="cs-CZ" w:bidi="ar-SA"/>
    </w:rPr>
  </w:style>
  <w:style w:type="paragraph" w:styleId="Zoznam">
    <w:name w:val="List"/>
    <w:basedOn w:val="Zkladntext1"/>
    <w:uiPriority w:val="99"/>
  </w:style>
  <w:style w:type="paragraph" w:styleId="Popis">
    <w:name w:val="caption"/>
    <w:basedOn w:val="Normlny"/>
    <w:uiPriority w:val="99"/>
    <w:qFormat/>
    <w:pPr>
      <w:spacing w:before="120" w:after="120"/>
    </w:pPr>
    <w:rPr>
      <w:rFonts w:ascii="Liberation Sans" w:eastAsia="Times New Roman" w:hAnsi="Liberation Sans" w:cs="Liberation Sans"/>
      <w:i/>
      <w:iCs/>
      <w:color w:val="000000"/>
    </w:rPr>
  </w:style>
  <w:style w:type="paragraph" w:customStyle="1" w:styleId="Index">
    <w:name w:val="Index"/>
    <w:basedOn w:val="Normlny"/>
    <w:uiPriority w:val="99"/>
    <w:qFormat/>
    <w:pPr>
      <w:suppressLineNumbers/>
    </w:pPr>
    <w:rPr>
      <w:rFonts w:ascii="Liberation Sans" w:eastAsia="Times New Roman" w:hAnsi="Liberation Sans" w:cs="Liberation Sans"/>
      <w:color w:val="000000"/>
    </w:rPr>
  </w:style>
  <w:style w:type="paragraph" w:customStyle="1" w:styleId="Z3f3fkladn3f3ftext90">
    <w:name w:val="Zá3f3fkladný3f3f text (9)"/>
    <w:uiPriority w:val="99"/>
    <w:qFormat/>
    <w:pPr>
      <w:widowControl w:val="0"/>
      <w:shd w:val="clear" w:color="auto" w:fill="FFFFFF"/>
    </w:pPr>
    <w:rPr>
      <w:rFonts w:ascii="Arial" w:eastAsia="Times New Roman" w:hAnsi="Arial" w:cs="Arial"/>
      <w:color w:val="000000"/>
      <w:kern w:val="2"/>
      <w:sz w:val="11"/>
      <w:szCs w:val="11"/>
    </w:rPr>
  </w:style>
  <w:style w:type="paragraph" w:customStyle="1" w:styleId="l4go">
    <w:name w:val="l4  go"/>
    <w:uiPriority w:val="99"/>
    <w:qFormat/>
    <w:pPr>
      <w:spacing w:before="144" w:after="144"/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P3f3fta">
    <w:name w:val="Pä3f3fta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  <w:kern w:val="2"/>
      <w:sz w:val="24"/>
      <w:szCs w:val="24"/>
    </w:rPr>
  </w:style>
  <w:style w:type="paragraph" w:customStyle="1" w:styleId="Obsahr3f3fmca">
    <w:name w:val="Obsah rá3f3fmca"/>
    <w:uiPriority w:val="99"/>
    <w:qFormat/>
    <w:pPr>
      <w:widowControl w:val="0"/>
    </w:pPr>
    <w:rPr>
      <w:rFonts w:ascii="Liberation Sans" w:eastAsia="Times New Roman" w:hAnsi="Liberation Sans" w:cs="Liberation Sans"/>
      <w:color w:val="000000"/>
      <w:kern w:val="2"/>
      <w:sz w:val="24"/>
      <w:szCs w:val="24"/>
      <w:lang w:eastAsia="zh-CN" w:bidi="hi-IN"/>
    </w:rPr>
  </w:style>
  <w:style w:type="paragraph" w:customStyle="1" w:styleId="Hlavi3fka">
    <w:name w:val="Hlavič3fk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P3fta">
    <w:name w:val="Pä3fta"/>
    <w:basedOn w:val="Normlny"/>
    <w:uiPriority w:val="99"/>
    <w:qFormat/>
    <w:pPr>
      <w:tabs>
        <w:tab w:val="center" w:pos="4536"/>
        <w:tab w:val="right" w:pos="9072"/>
      </w:tabs>
    </w:pPr>
    <w:rPr>
      <w:rFonts w:ascii="Liberation Sans" w:eastAsia="Times New Roman" w:hAnsi="Liberation Sans" w:cs="Liberation Sans"/>
      <w:color w:val="000000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Hlavikaapta"/>
  </w:style>
  <w:style w:type="paragraph" w:styleId="Pta">
    <w:name w:val="footer"/>
    <w:basedOn w:val="Hlavikaapt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Stavebník (alebo jeho splnomocnený zástupca):</vt:lpstr>
    </vt:vector>
  </TitlesOfParts>
  <Company/>
  <LinksUpToDate>false</LinksUpToDate>
  <CharactersWithSpaces>14146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Stavebník (alebo jeho splnomocnený zástupca):</dc:title>
  <dc:subject/>
  <dc:creator>Zuzana</dc:creator>
  <dc:description/>
  <cp:lastModifiedBy>Konto Microsoft</cp:lastModifiedBy>
  <cp:revision>2</cp:revision>
  <cp:lastPrinted>2014-03-10T08:03:00Z</cp:lastPrinted>
  <dcterms:created xsi:type="dcterms:W3CDTF">2022-11-28T11:29:00Z</dcterms:created>
  <dcterms:modified xsi:type="dcterms:W3CDTF">2022-11-28T11:29:00Z</dcterms:modified>
  <dc:language>sk-SK</dc:language>
</cp:coreProperties>
</file>